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6663"/>
        <w:jc w:val="start"/>
        <w:rPr>
          <w:rFonts w:ascii="Arial" w:hAnsi="Arial"/>
          <w:sz w:val="14"/>
        </w:rPr>
      </w:pPr>
      <w:r>
        <w:rPr>
          <w:rFonts w:ascii="Arial" w:hAnsi="Arial"/>
          <w:sz w:val="14"/>
        </w:rPr>
        <w:t>Типовая межотраслевая форма № М-11</w:t>
      </w:r>
    </w:p>
    <w:p>
      <w:pPr>
        <w:pStyle w:val="Normal"/>
        <w:bidi w:val="0"/>
        <w:ind w:hanging="0" w:start="6663"/>
        <w:jc w:val="start"/>
        <w:rPr>
          <w:rFonts w:ascii="Arial" w:hAnsi="Arial"/>
          <w:sz w:val="14"/>
        </w:rPr>
      </w:pPr>
      <w:r>
        <w:rPr>
          <w:rFonts w:ascii="Arial" w:hAnsi="Arial"/>
          <w:sz w:val="14"/>
        </w:rPr>
        <w:t>Утверждена постановлением Госкомстата России</w:t>
      </w:r>
    </w:p>
    <w:p>
      <w:pPr>
        <w:pStyle w:val="Normal"/>
        <w:bidi w:val="0"/>
        <w:spacing w:before="0" w:after="120"/>
        <w:ind w:hanging="0" w:start="6662"/>
        <w:jc w:val="start"/>
        <w:rPr>
          <w:rFonts w:ascii="Arial" w:hAnsi="Arial"/>
          <w:sz w:val="14"/>
        </w:rPr>
      </w:pPr>
      <w:r>
        <w:rPr>
          <w:rFonts w:ascii="Arial" w:hAnsi="Arial"/>
          <w:sz w:val="14"/>
        </w:rPr>
        <w:t>от 30.10.97 № 71а</w:t>
      </w:r>
    </w:p>
    <w:tbl>
      <w:tblPr>
        <w:tblW w:w="9894" w:type="dxa"/>
        <w:jc w:val="start"/>
        <w:tblInd w:w="17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133"/>
        <w:gridCol w:w="1645"/>
        <w:gridCol w:w="793"/>
        <w:gridCol w:w="2381"/>
        <w:gridCol w:w="1389"/>
        <w:gridCol w:w="171"/>
        <w:gridCol w:w="992"/>
        <w:gridCol w:w="1390"/>
      </w:tblGrid>
      <w:tr>
        <w:trPr>
          <w:trHeight w:val="240" w:hRule="exact"/>
        </w:trPr>
        <w:tc>
          <w:tcPr>
            <w:tcW w:w="2778" w:type="dxa"/>
            <w:gridSpan w:val="2"/>
            <w:tcBorders/>
            <w:vAlign w:val="bottom"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0"/>
              <w:rPr/>
            </w:pPr>
            <w:r>
              <w:rPr/>
              <w:t>ТРЕБОВАНИЕ-НАКЛАДНАЯ №</w:t>
            </w:r>
          </w:p>
        </w:tc>
        <w:tc>
          <w:tcPr>
            <w:tcW w:w="79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  <w:tc>
          <w:tcPr>
            <w:tcW w:w="23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  <w:t>Коды</w:t>
            </w:r>
          </w:p>
        </w:tc>
        <w:tc>
          <w:tcPr>
            <w:tcW w:w="2553" w:type="dxa"/>
            <w:gridSpan w:val="3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40" w:hRule="exact"/>
          <w:cantSplit/>
        </w:trPr>
        <w:tc>
          <w:tcPr>
            <w:tcW w:w="8504" w:type="dxa"/>
            <w:gridSpan w:val="7"/>
            <w:tcBorders>
              <w:end w:val="single" w:sz="1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end="57"/>
              <w:jc w:val="end"/>
              <w:rPr/>
            </w:pPr>
            <w:r>
              <w:rPr>
                <w:rFonts w:ascii="Arial" w:hAnsi="Arial"/>
                <w:sz w:val="17"/>
              </w:rPr>
              <w:t>Форма по ОКУД</w:t>
            </w:r>
          </w:p>
        </w:tc>
        <w:tc>
          <w:tcPr>
            <w:tcW w:w="1390" w:type="dxa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" w:hAnsi="Arial"/>
                <w:sz w:val="17"/>
              </w:rPr>
              <w:t>0315006</w:t>
            </w:r>
          </w:p>
        </w:tc>
      </w:tr>
      <w:tr>
        <w:trPr>
          <w:trHeight w:val="240" w:hRule="exact"/>
        </w:trPr>
        <w:tc>
          <w:tcPr>
            <w:tcW w:w="113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Arial" w:hAnsi="Arial"/>
                <w:sz w:val="17"/>
              </w:rPr>
              <w:t>Организация</w:t>
            </w:r>
          </w:p>
        </w:tc>
        <w:tc>
          <w:tcPr>
            <w:tcW w:w="6379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992" w:type="dxa"/>
            <w:tcBorders>
              <w:end w:val="single" w:sz="1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end="57"/>
              <w:jc w:val="end"/>
              <w:rPr/>
            </w:pPr>
            <w:r>
              <w:rPr>
                <w:rFonts w:ascii="Arial" w:hAnsi="Arial"/>
                <w:sz w:val="17"/>
              </w:rPr>
              <w:t>по ОКПО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4"/>
        </w:rPr>
      </w:pPr>
      <w:r>
        <w:rPr>
          <w:rFonts w:ascii="Arial" w:hAnsi="Arial"/>
          <w:sz w:val="4"/>
        </w:rPr>
      </w:r>
    </w:p>
    <w:tbl>
      <w:tblPr>
        <w:tblW w:w="9128" w:type="dxa"/>
        <w:jc w:val="start"/>
        <w:tblInd w:w="894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680"/>
        <w:gridCol w:w="680"/>
        <w:gridCol w:w="1361"/>
        <w:gridCol w:w="1191"/>
        <w:gridCol w:w="1303"/>
        <w:gridCol w:w="1191"/>
        <w:gridCol w:w="680"/>
        <w:gridCol w:w="1078"/>
        <w:gridCol w:w="964"/>
      </w:tblGrid>
      <w:tr>
        <w:trPr>
          <w:trHeight w:val="360" w:hRule="exact"/>
          <w:cantSplit/>
        </w:trPr>
        <w:tc>
          <w:tcPr>
            <w:tcW w:w="680" w:type="dxa"/>
            <w:vMerge w:val="restart"/>
            <w:tcBorders>
              <w:top w:val="double" w:sz="4" w:space="0" w:color="000000"/>
              <w:start w:val="double" w:sz="4" w:space="0" w:color="000000"/>
              <w:bottom w:val="single" w:sz="12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120" w:after="0"/>
              <w:jc w:val="center"/>
              <w:rPr/>
            </w:pPr>
            <w:r>
              <w:rPr>
                <w:rFonts w:ascii="Arial" w:hAnsi="Arial"/>
                <w:sz w:val="14"/>
              </w:rPr>
              <w:t>Да</w:t>
              <w:softHyphen/>
              <w:t>та</w:t>
              <w:br/>
              <w:t>сос</w:t>
              <w:softHyphen/>
              <w:t>та</w:t>
              <w:softHyphen/>
              <w:t>вле</w:t>
              <w:softHyphen/>
              <w:t>ния</w:t>
            </w:r>
          </w:p>
        </w:tc>
        <w:tc>
          <w:tcPr>
            <w:tcW w:w="680" w:type="dxa"/>
            <w:vMerge w:val="restart"/>
            <w:tcBorders>
              <w:top w:val="double" w:sz="4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120" w:after="0"/>
              <w:jc w:val="center"/>
              <w:rPr/>
            </w:pPr>
            <w:r>
              <w:rPr>
                <w:rFonts w:ascii="Arial" w:hAnsi="Arial"/>
                <w:sz w:val="14"/>
              </w:rPr>
              <w:t>Код ви</w:t>
              <w:softHyphen/>
              <w:t>да опе</w:t>
              <w:softHyphen/>
              <w:t>ра</w:t>
              <w:softHyphen/>
              <w:t>ции</w:t>
            </w:r>
          </w:p>
        </w:tc>
        <w:tc>
          <w:tcPr>
            <w:tcW w:w="2552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" w:hAnsi="Arial"/>
                <w:sz w:val="18"/>
              </w:rPr>
              <w:t>От</w:t>
              <w:softHyphen/>
              <w:t>пра</w:t>
              <w:softHyphen/>
              <w:t>ви</w:t>
              <w:softHyphen/>
              <w:t>тель</w:t>
            </w:r>
          </w:p>
        </w:tc>
        <w:tc>
          <w:tcPr>
            <w:tcW w:w="2494" w:type="dxa"/>
            <w:gridSpan w:val="2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" w:hAnsi="Arial"/>
                <w:sz w:val="18"/>
              </w:rPr>
              <w:t>По</w:t>
              <w:softHyphen/>
              <w:t>лу</w:t>
              <w:softHyphen/>
              <w:t>ча</w:t>
              <w:softHyphen/>
              <w:t>тель</w:t>
            </w:r>
          </w:p>
        </w:tc>
        <w:tc>
          <w:tcPr>
            <w:tcW w:w="1758" w:type="dxa"/>
            <w:gridSpan w:val="2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Кор</w:t>
              <w:softHyphen/>
              <w:t>рес</w:t>
              <w:softHyphen/>
              <w:t>пон</w:t>
              <w:softHyphen/>
              <w:t>ди</w:t>
              <w:softHyphen/>
              <w:t>ру</w:t>
              <w:softHyphen/>
              <w:t>ющий счет</w:t>
            </w:r>
          </w:p>
        </w:tc>
        <w:tc>
          <w:tcPr>
            <w:tcW w:w="964" w:type="dxa"/>
            <w:vMerge w:val="restart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Учет</w:t>
              <w:softHyphen/>
              <w:t xml:space="preserve">ная </w:t>
              <w:br/>
              <w:t>еди</w:t>
              <w:softHyphen/>
              <w:t>ни</w:t>
              <w:softHyphen/>
              <w:t xml:space="preserve">ца </w:t>
              <w:br/>
              <w:t>вы</w:t>
              <w:softHyphen/>
              <w:t>пус</w:t>
              <w:softHyphen/>
              <w:t xml:space="preserve">ка </w:t>
              <w:br/>
              <w:t>про</w:t>
              <w:softHyphen/>
              <w:t>дук</w:t>
              <w:softHyphen/>
              <w:t>ции</w:t>
              <w:br/>
              <w:t>(ра</w:t>
              <w:softHyphen/>
              <w:t xml:space="preserve">бот, </w:t>
              <w:br/>
              <w:t>ус</w:t>
              <w:softHyphen/>
              <w:t>луг)</w:t>
            </w:r>
          </w:p>
        </w:tc>
      </w:tr>
      <w:tr>
        <w:trPr>
          <w:trHeight w:val="600" w:hRule="atLeast"/>
          <w:cantSplit/>
        </w:trPr>
        <w:tc>
          <w:tcPr>
            <w:tcW w:w="6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12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61" w:type="dxa"/>
            <w:tcBorders>
              <w:top w:val="single" w:sz="4" w:space="0" w:color="000000"/>
              <w:start w:val="doub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120" w:after="0"/>
              <w:jc w:val="center"/>
              <w:rPr/>
            </w:pPr>
            <w:r>
              <w:rPr>
                <w:rFonts w:ascii="Arial" w:hAnsi="Arial"/>
                <w:sz w:val="14"/>
              </w:rPr>
              <w:t>струк</w:t>
              <w:softHyphen/>
              <w:t>тур</w:t>
              <w:softHyphen/>
              <w:t xml:space="preserve">ное </w:t>
              <w:br/>
              <w:t>под</w:t>
              <w:softHyphen/>
              <w:t>раз</w:t>
              <w:softHyphen/>
              <w:t>де</w:t>
              <w:softHyphen/>
              <w:t>ле</w:t>
              <w:softHyphen/>
              <w:t>ние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120" w:after="0"/>
              <w:jc w:val="center"/>
              <w:rPr/>
            </w:pPr>
            <w:r>
              <w:rPr>
                <w:rFonts w:ascii="Arial" w:hAnsi="Arial"/>
                <w:sz w:val="14"/>
              </w:rPr>
              <w:t xml:space="preserve">вид </w:t>
              <w:br/>
              <w:t>де</w:t>
              <w:softHyphen/>
              <w:t>ятель</w:t>
              <w:softHyphen/>
              <w:t>нос</w:t>
              <w:softHyphen/>
              <w:t>ти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120" w:after="0"/>
              <w:jc w:val="center"/>
              <w:rPr/>
            </w:pPr>
            <w:r>
              <w:rPr>
                <w:rFonts w:ascii="Arial" w:hAnsi="Arial"/>
                <w:sz w:val="14"/>
              </w:rPr>
              <w:t>струк</w:t>
              <w:softHyphen/>
              <w:t>тур</w:t>
              <w:softHyphen/>
              <w:t xml:space="preserve">ное </w:t>
              <w:br/>
              <w:t>под</w:t>
              <w:softHyphen/>
              <w:t>раз</w:t>
              <w:softHyphen/>
              <w:t>де</w:t>
              <w:softHyphen/>
              <w:t>ле</w:t>
              <w:softHyphen/>
              <w:t>ние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120" w:after="0"/>
              <w:jc w:val="center"/>
              <w:rPr/>
            </w:pPr>
            <w:r>
              <w:rPr>
                <w:rFonts w:ascii="Arial" w:hAnsi="Arial"/>
                <w:sz w:val="14"/>
              </w:rPr>
              <w:t xml:space="preserve">вид </w:t>
              <w:br/>
              <w:t>де</w:t>
              <w:softHyphen/>
              <w:t>ятель</w:t>
              <w:softHyphen/>
              <w:t>нос</w:t>
              <w:softHyphen/>
              <w:t>ти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120" w:after="0"/>
              <w:jc w:val="center"/>
              <w:rPr/>
            </w:pPr>
            <w:r>
              <w:rPr>
                <w:rFonts w:ascii="Arial" w:hAnsi="Arial"/>
                <w:sz w:val="14"/>
              </w:rPr>
              <w:t>счет, суб</w:t>
              <w:softHyphen/>
              <w:t>счет</w:t>
            </w:r>
          </w:p>
        </w:tc>
        <w:tc>
          <w:tcPr>
            <w:tcW w:w="107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120" w:after="0"/>
              <w:jc w:val="center"/>
              <w:rPr/>
            </w:pPr>
            <w:r>
              <w:rPr>
                <w:rFonts w:ascii="Arial" w:hAnsi="Arial"/>
                <w:sz w:val="14"/>
              </w:rPr>
              <w:t>код ана</w:t>
              <w:softHyphen/>
              <w:t>ли</w:t>
              <w:softHyphen/>
              <w:t>ти</w:t>
              <w:softHyphen/>
              <w:t>чес</w:t>
              <w:softHyphen/>
              <w:t>ко</w:t>
              <w:softHyphen/>
              <w:t>го уче</w:t>
              <w:softHyphen/>
              <w:t>та</w:t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1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1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</w:tbl>
    <w:p>
      <w:pPr>
        <w:pStyle w:val="Normal"/>
        <w:tabs>
          <w:tab w:val="clear" w:pos="720"/>
          <w:tab w:val="left" w:pos="1134" w:leader="none"/>
        </w:tabs>
        <w:bidi w:val="0"/>
        <w:ind w:hanging="0" w:start="142"/>
        <w:jc w:val="start"/>
        <w:rPr>
          <w:rFonts w:ascii="Arial" w:hAnsi="Arial"/>
          <w:sz w:val="17"/>
        </w:rPr>
      </w:pPr>
      <w:r>
        <w:rPr>
          <w:rFonts w:ascii="Arial" w:hAnsi="Arial"/>
          <w:sz w:val="17"/>
        </w:rPr>
        <w:t>Через кого</w:t>
        <w:tab/>
      </w:r>
    </w:p>
    <w:p>
      <w:pPr>
        <w:pStyle w:val="Normal"/>
        <w:pBdr>
          <w:top w:val="single" w:sz="4" w:space="1" w:color="000000"/>
        </w:pBdr>
        <w:bidi w:val="0"/>
        <w:ind w:hanging="0" w:start="1134" w:end="2238"/>
        <w:jc w:val="start"/>
        <w:rPr>
          <w:rFonts w:ascii="Arial" w:hAnsi="Arial"/>
          <w:sz w:val="2"/>
        </w:rPr>
      </w:pPr>
      <w:r>
        <w:rPr>
          <w:rFonts w:ascii="Arial" w:hAnsi="Arial"/>
          <w:sz w:val="2"/>
        </w:rPr>
      </w:r>
    </w:p>
    <w:tbl>
      <w:tblPr>
        <w:tblW w:w="9072" w:type="dxa"/>
        <w:jc w:val="start"/>
        <w:tblInd w:w="17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134"/>
        <w:gridCol w:w="3826"/>
        <w:gridCol w:w="993"/>
        <w:gridCol w:w="3119"/>
      </w:tblGrid>
      <w:tr>
        <w:trPr/>
        <w:tc>
          <w:tcPr>
            <w:tcW w:w="113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Arial" w:hAnsi="Arial"/>
                <w:sz w:val="17"/>
              </w:rPr>
              <w:t>Затребовал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w="99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Arial" w:hAnsi="Arial"/>
                <w:sz w:val="17"/>
              </w:rPr>
              <w:t>Разрешил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pStyle w:val="Normal"/>
        <w:tabs>
          <w:tab w:val="clear" w:pos="720"/>
          <w:tab w:val="left" w:pos="-1985" w:leader="none"/>
        </w:tabs>
        <w:bidi w:val="0"/>
        <w:jc w:val="start"/>
        <w:rPr>
          <w:rFonts w:ascii="Arial" w:hAnsi="Arial"/>
          <w:sz w:val="8"/>
        </w:rPr>
      </w:pPr>
      <w:r>
        <w:rPr>
          <w:rFonts w:ascii="Arial" w:hAnsi="Arial"/>
          <w:sz w:val="8"/>
        </w:rPr>
      </w:r>
    </w:p>
    <w:tbl>
      <w:tblPr>
        <w:tblW w:w="9781" w:type="dxa"/>
        <w:jc w:val="start"/>
        <w:tblInd w:w="242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906"/>
        <w:gridCol w:w="1192"/>
        <w:gridCol w:w="1303"/>
        <w:gridCol w:w="907"/>
        <w:gridCol w:w="455"/>
        <w:gridCol w:w="1304"/>
        <w:gridCol w:w="624"/>
        <w:gridCol w:w="624"/>
        <w:gridCol w:w="624"/>
        <w:gridCol w:w="849"/>
        <w:gridCol w:w="993"/>
      </w:tblGrid>
      <w:tr>
        <w:trPr>
          <w:trHeight w:val="392" w:hRule="atLeast"/>
          <w:cantSplit/>
        </w:trPr>
        <w:tc>
          <w:tcPr>
            <w:tcW w:w="2098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Кор</w:t>
              <w:softHyphen/>
              <w:t>рес</w:t>
              <w:softHyphen/>
              <w:t>пон</w:t>
              <w:softHyphen/>
              <w:t>ди</w:t>
              <w:softHyphen/>
              <w:t>рую</w:t>
              <w:softHyphen/>
              <w:t>щий счет</w:t>
            </w:r>
          </w:p>
        </w:tc>
        <w:tc>
          <w:tcPr>
            <w:tcW w:w="2210" w:type="dxa"/>
            <w:gridSpan w:val="2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Ма</w:t>
              <w:softHyphen/>
              <w:t>те</w:t>
              <w:softHyphen/>
              <w:t>ри</w:t>
              <w:softHyphen/>
              <w:t>аль</w:t>
              <w:softHyphen/>
              <w:t>ные цен</w:t>
              <w:softHyphen/>
              <w:t>нос</w:t>
              <w:softHyphen/>
              <w:t>ти</w:t>
            </w:r>
          </w:p>
        </w:tc>
        <w:tc>
          <w:tcPr>
            <w:tcW w:w="1759" w:type="dxa"/>
            <w:gridSpan w:val="2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Еди</w:t>
              <w:softHyphen/>
              <w:t>ни</w:t>
              <w:softHyphen/>
              <w:t>ца из</w:t>
              <w:softHyphen/>
              <w:t>ме</w:t>
              <w:softHyphen/>
              <w:t>ре</w:t>
              <w:softHyphen/>
              <w:t>ния</w:t>
            </w:r>
          </w:p>
        </w:tc>
        <w:tc>
          <w:tcPr>
            <w:tcW w:w="1248" w:type="dxa"/>
            <w:gridSpan w:val="2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Ко</w:t>
              <w:softHyphen/>
              <w:t>ли</w:t>
              <w:softHyphen/>
              <w:t>чес</w:t>
              <w:softHyphen/>
              <w:t>тво</w:t>
            </w:r>
          </w:p>
        </w:tc>
        <w:tc>
          <w:tcPr>
            <w:tcW w:w="624" w:type="dxa"/>
            <w:vMerge w:val="restart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60" w:after="0"/>
              <w:jc w:val="center"/>
              <w:rPr/>
            </w:pPr>
            <w:r>
              <w:rPr>
                <w:rFonts w:ascii="Arial" w:hAnsi="Arial"/>
                <w:sz w:val="14"/>
              </w:rPr>
              <w:t>Це</w:t>
              <w:softHyphen/>
              <w:t xml:space="preserve">на, руб. </w:t>
              <w:br/>
              <w:t>коп.</w:t>
            </w:r>
          </w:p>
        </w:tc>
        <w:tc>
          <w:tcPr>
            <w:tcW w:w="849" w:type="dxa"/>
            <w:vMerge w:val="restart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60" w:after="0"/>
              <w:jc w:val="center"/>
              <w:rPr/>
            </w:pPr>
            <w:r>
              <w:rPr>
                <w:rFonts w:ascii="Arial" w:hAnsi="Arial"/>
                <w:sz w:val="14"/>
              </w:rPr>
              <w:t>Сум</w:t>
              <w:softHyphen/>
              <w:t>ма</w:t>
              <w:br/>
              <w:t>без уче</w:t>
              <w:softHyphen/>
              <w:t>та НДС,</w:t>
              <w:br/>
              <w:t>руб. коп.</w:t>
            </w:r>
          </w:p>
        </w:tc>
        <w:tc>
          <w:tcPr>
            <w:tcW w:w="993" w:type="dxa"/>
            <w:vMerge w:val="restart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60" w:after="0"/>
              <w:jc w:val="center"/>
              <w:rPr/>
            </w:pPr>
            <w:r>
              <w:rPr>
                <w:rFonts w:ascii="Arial" w:hAnsi="Arial"/>
                <w:sz w:val="14"/>
              </w:rPr>
              <w:t>По</w:t>
              <w:softHyphen/>
              <w:t>ряд</w:t>
              <w:softHyphen/>
              <w:t>ко</w:t>
              <w:softHyphen/>
              <w:t>вый</w:t>
              <w:br/>
              <w:t>но</w:t>
              <w:softHyphen/>
              <w:t>мер по склад</w:t>
              <w:softHyphen/>
              <w:t xml:space="preserve">ской </w:t>
              <w:br/>
              <w:t>кар</w:t>
              <w:softHyphen/>
              <w:t>то</w:t>
              <w:softHyphen/>
              <w:t>те</w:t>
              <w:softHyphen/>
              <w:t>ке</w:t>
            </w:r>
          </w:p>
        </w:tc>
      </w:tr>
      <w:tr>
        <w:trPr>
          <w:trHeight w:val="600" w:hRule="atLeast"/>
          <w:cantSplit/>
        </w:trPr>
        <w:tc>
          <w:tcPr>
            <w:tcW w:w="90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 xml:space="preserve">счет, </w:t>
              <w:br/>
              <w:t>суб</w:t>
              <w:softHyphen/>
              <w:t>счет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код ана</w:t>
              <w:softHyphen/>
              <w:t>ли</w:t>
              <w:softHyphen/>
              <w:t>ти-</w:t>
              <w:br/>
              <w:t>чес</w:t>
              <w:softHyphen/>
              <w:t>ко</w:t>
              <w:softHyphen/>
              <w:t>го уче</w:t>
              <w:softHyphen/>
              <w:t>та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>ние</w:t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но</w:t>
              <w:softHyphen/>
              <w:t>менк-</w:t>
              <w:br/>
              <w:t>ла</w:t>
              <w:softHyphen/>
              <w:t>тур</w:t>
              <w:softHyphen/>
              <w:t>ный но</w:t>
              <w:softHyphen/>
              <w:t>мер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код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>ние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зат</w:t>
              <w:softHyphen/>
              <w:t>ре-</w:t>
              <w:br/>
              <w:t>бо</w:t>
              <w:softHyphen/>
              <w:t>ва-</w:t>
              <w:br/>
              <w:t>но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от</w:t>
              <w:softHyphen/>
              <w:t>пу-</w:t>
              <w:br/>
              <w:t>ще</w:t>
              <w:softHyphen/>
              <w:t>но</w:t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exact"/>
          <w:cantSplit/>
        </w:trPr>
        <w:tc>
          <w:tcPr>
            <w:tcW w:w="906" w:type="dxa"/>
            <w:tcBorders>
              <w:top w:val="single" w:sz="4" w:space="0" w:color="000000"/>
              <w:start w:val="doub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11</w:t>
            </w:r>
          </w:p>
        </w:tc>
      </w:tr>
      <w:tr>
        <w:trPr>
          <w:trHeight w:val="320" w:hRule="atLeast"/>
          <w:cantSplit/>
        </w:trPr>
        <w:tc>
          <w:tcPr>
            <w:tcW w:w="906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2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doub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7" w:type="dxa"/>
            <w:tcBorders>
              <w:top w:val="single" w:sz="12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12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12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  <w:cantSplit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  <w:cantSplit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  <w:cantSplit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  <w:cantSplit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  <w:cantSplit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  <w:cantSplit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  <w:cantSplit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3" w:type="dxa"/>
            <w:tcBorders>
              <w:top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7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737" w:gutter="0" w:header="397" w:top="79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-1985" w:leader="none"/>
        </w:tabs>
        <w:bidi w:val="0"/>
        <w:spacing w:before="0" w:after="120"/>
        <w:ind w:end="254"/>
        <w:jc w:val="end"/>
        <w:rPr>
          <w:rFonts w:ascii="Arial" w:hAnsi="Arial"/>
          <w:sz w:val="17"/>
        </w:rPr>
      </w:pPr>
      <w:r>
        <w:rPr>
          <w:rFonts w:ascii="Arial" w:hAnsi="Arial"/>
          <w:sz w:val="17"/>
        </w:rPr>
        <w:t>Оборотная сторона формы № М-11</w:t>
      </w:r>
    </w:p>
    <w:tbl>
      <w:tblPr>
        <w:tblW w:w="9752" w:type="dxa"/>
        <w:jc w:val="start"/>
        <w:tblInd w:w="43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906"/>
        <w:gridCol w:w="1248"/>
        <w:gridCol w:w="1304"/>
        <w:gridCol w:w="906"/>
        <w:gridCol w:w="455"/>
        <w:gridCol w:w="1246"/>
        <w:gridCol w:w="568"/>
        <w:gridCol w:w="566"/>
        <w:gridCol w:w="568"/>
        <w:gridCol w:w="850"/>
        <w:gridCol w:w="1135"/>
      </w:tblGrid>
      <w:tr>
        <w:trPr>
          <w:trHeight w:val="300" w:hRule="exact"/>
          <w:cantSplit/>
        </w:trPr>
        <w:tc>
          <w:tcPr>
            <w:tcW w:w="2154" w:type="dxa"/>
            <w:gridSpan w:val="2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Кор</w:t>
              <w:softHyphen/>
              <w:t>рес</w:t>
              <w:softHyphen/>
              <w:t>пон</w:t>
              <w:softHyphen/>
              <w:t>ди</w:t>
              <w:softHyphen/>
              <w:t>рую</w:t>
              <w:softHyphen/>
              <w:t>щий счет</w:t>
            </w:r>
          </w:p>
        </w:tc>
        <w:tc>
          <w:tcPr>
            <w:tcW w:w="2210" w:type="dxa"/>
            <w:gridSpan w:val="2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Ма</w:t>
              <w:softHyphen/>
              <w:t>те</w:t>
              <w:softHyphen/>
              <w:t>ри</w:t>
              <w:softHyphen/>
              <w:t>аль</w:t>
              <w:softHyphen/>
              <w:t>ные цен</w:t>
              <w:softHyphen/>
              <w:t>нос</w:t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Еди</w:t>
              <w:softHyphen/>
              <w:t>ни</w:t>
              <w:softHyphen/>
              <w:t>ца из</w:t>
              <w:softHyphen/>
              <w:t>ме</w:t>
              <w:softHyphen/>
              <w:t>ре</w:t>
              <w:softHyphen/>
              <w:t>ния</w:t>
            </w:r>
          </w:p>
        </w:tc>
        <w:tc>
          <w:tcPr>
            <w:tcW w:w="1134" w:type="dxa"/>
            <w:gridSpan w:val="2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ind w:hanging="0" w:start="113"/>
              <w:jc w:val="start"/>
              <w:rPr/>
            </w:pPr>
            <w:r>
              <w:rPr>
                <w:rFonts w:ascii="Arial" w:hAnsi="Arial"/>
                <w:sz w:val="14"/>
              </w:rPr>
              <w:t>Ко</w:t>
              <w:softHyphen/>
              <w:t>ли</w:t>
              <w:softHyphen/>
              <w:t>чес</w:t>
              <w:softHyphen/>
              <w:t>тво</w:t>
            </w:r>
          </w:p>
        </w:tc>
        <w:tc>
          <w:tcPr>
            <w:tcW w:w="568" w:type="dxa"/>
            <w:vMerge w:val="restart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60" w:after="0"/>
              <w:jc w:val="center"/>
              <w:rPr/>
            </w:pPr>
            <w:r>
              <w:rPr>
                <w:rFonts w:ascii="Arial" w:hAnsi="Arial"/>
                <w:sz w:val="14"/>
              </w:rPr>
              <w:t>Це</w:t>
              <w:softHyphen/>
              <w:t>на, руб. коп.</w:t>
            </w:r>
          </w:p>
        </w:tc>
        <w:tc>
          <w:tcPr>
            <w:tcW w:w="850" w:type="dxa"/>
            <w:vMerge w:val="restart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60" w:after="0"/>
              <w:jc w:val="center"/>
              <w:rPr/>
            </w:pPr>
            <w:r>
              <w:rPr>
                <w:rFonts w:ascii="Arial" w:hAnsi="Arial"/>
                <w:sz w:val="14"/>
              </w:rPr>
              <w:t>Сум</w:t>
              <w:softHyphen/>
              <w:t xml:space="preserve">ма </w:t>
              <w:br/>
              <w:t>без уче</w:t>
              <w:softHyphen/>
              <w:t>та НДС,</w:t>
              <w:br/>
              <w:t>руб. коп.</w:t>
            </w:r>
          </w:p>
        </w:tc>
        <w:tc>
          <w:tcPr>
            <w:tcW w:w="1135" w:type="dxa"/>
            <w:vMerge w:val="restart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60" w:after="0"/>
              <w:jc w:val="center"/>
              <w:rPr/>
            </w:pPr>
            <w:r>
              <w:rPr>
                <w:rFonts w:ascii="Arial" w:hAnsi="Arial"/>
                <w:sz w:val="14"/>
              </w:rPr>
              <w:t>По</w:t>
              <w:softHyphen/>
              <w:t>ряд</w:t>
              <w:softHyphen/>
              <w:t>ко</w:t>
              <w:softHyphen/>
              <w:t>вый</w:t>
              <w:br/>
              <w:t>но</w:t>
              <w:softHyphen/>
              <w:t xml:space="preserve">мер по </w:t>
              <w:br/>
              <w:t>склад</w:t>
              <w:softHyphen/>
              <w:t xml:space="preserve">ской </w:t>
              <w:br/>
              <w:t>кар</w:t>
              <w:softHyphen/>
              <w:t>то</w:t>
              <w:softHyphen/>
              <w:t>те</w:t>
              <w:softHyphen/>
              <w:t>ке</w:t>
            </w:r>
          </w:p>
        </w:tc>
      </w:tr>
      <w:tr>
        <w:trPr>
          <w:trHeight w:val="581" w:hRule="atLeast"/>
          <w:cantSplit/>
        </w:trPr>
        <w:tc>
          <w:tcPr>
            <w:tcW w:w="90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 xml:space="preserve">счет, </w:t>
              <w:br/>
              <w:t>суб</w:t>
              <w:softHyphen/>
              <w:t>счет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код ана</w:t>
              <w:softHyphen/>
              <w:t>ли</w:t>
              <w:softHyphen/>
              <w:t>ти-</w:t>
              <w:br/>
              <w:t>чес</w:t>
              <w:softHyphen/>
              <w:t>ко</w:t>
              <w:softHyphen/>
              <w:t>го уче</w:t>
              <w:softHyphen/>
              <w:t>та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>ние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но</w:t>
              <w:softHyphen/>
              <w:t>менк-</w:t>
              <w:br/>
              <w:t>ла</w:t>
              <w:softHyphen/>
              <w:t>тур</w:t>
              <w:softHyphen/>
              <w:t>ный но</w:t>
              <w:softHyphen/>
              <w:t>мер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код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на</w:t>
              <w:softHyphen/>
              <w:t>име</w:t>
              <w:softHyphen/>
              <w:t>но</w:t>
              <w:softHyphen/>
              <w:t>ва</w:t>
              <w:softHyphen/>
              <w:t>ние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зат</w:t>
              <w:softHyphen/>
              <w:t>ре</w:t>
              <w:softHyphen/>
              <w:t>бо</w:t>
              <w:softHyphen/>
              <w:t>ва</w:t>
              <w:softHyphen/>
              <w:t>но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spacing w:before="40" w:after="0"/>
              <w:jc w:val="center"/>
              <w:rPr/>
            </w:pPr>
            <w:r>
              <w:rPr>
                <w:rFonts w:ascii="Arial" w:hAnsi="Arial"/>
                <w:sz w:val="14"/>
              </w:rPr>
              <w:t>от</w:t>
              <w:softHyphen/>
              <w:t>пу</w:t>
              <w:softHyphen/>
              <w:t>ще</w:t>
              <w:softHyphen/>
              <w:t>но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906" w:type="dxa"/>
            <w:tcBorders>
              <w:top w:val="single" w:sz="4" w:space="0" w:color="000000"/>
              <w:start w:val="doub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4"/>
              </w:rPr>
              <w:t>11</w:t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doub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12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doub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12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12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906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906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455" w:type="dxa"/>
            <w:tcBorders>
              <w:top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246" w:type="dxa"/>
            <w:tcBorders>
              <w:top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568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</w:tr>
    </w:tbl>
    <w:p>
      <w:pPr>
        <w:pStyle w:val="Normal"/>
        <w:tabs>
          <w:tab w:val="clear" w:pos="720"/>
          <w:tab w:val="left" w:pos="-1985" w:leader="none"/>
        </w:tabs>
        <w:bidi w:val="0"/>
        <w:jc w:val="start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tbl>
      <w:tblPr>
        <w:tblW w:w="9243" w:type="dxa"/>
        <w:jc w:val="start"/>
        <w:tblInd w:w="17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991"/>
        <w:gridCol w:w="794"/>
        <w:gridCol w:w="170"/>
        <w:gridCol w:w="794"/>
        <w:gridCol w:w="170"/>
        <w:gridCol w:w="1418"/>
        <w:gridCol w:w="1332"/>
        <w:gridCol w:w="851"/>
        <w:gridCol w:w="171"/>
        <w:gridCol w:w="793"/>
        <w:gridCol w:w="284"/>
        <w:gridCol w:w="1475"/>
      </w:tblGrid>
      <w:tr>
        <w:trPr/>
        <w:tc>
          <w:tcPr>
            <w:tcW w:w="991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/>
            </w:pPr>
            <w:r>
              <w:rPr>
                <w:rFonts w:ascii="Arial" w:hAnsi="Arial"/>
                <w:b/>
                <w:sz w:val="18"/>
              </w:rPr>
              <w:t>Отпустил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7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332" w:type="dxa"/>
            <w:tcBorders/>
            <w:vAlign w:val="bottom"/>
          </w:tcPr>
          <w:p>
            <w:pPr>
              <w:pStyle w:val="Heading2"/>
              <w:numPr>
                <w:ilvl w:val="0"/>
                <w:numId w:val="0"/>
              </w:numPr>
              <w:bidi w:val="0"/>
              <w:jc w:val="end"/>
              <w:outlineLvl w:val="1"/>
              <w:rPr/>
            </w:pPr>
            <w:r>
              <w:rPr/>
              <w:t>Получил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71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7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4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/>
        <w:tc>
          <w:tcPr>
            <w:tcW w:w="991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star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794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1"/>
              </w:rPr>
              <w:t>(должность)</w:t>
            </w:r>
          </w:p>
        </w:tc>
        <w:tc>
          <w:tcPr>
            <w:tcW w:w="170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</w:r>
          </w:p>
        </w:tc>
        <w:tc>
          <w:tcPr>
            <w:tcW w:w="794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1"/>
              </w:rPr>
              <w:t>(подпись)</w:t>
            </w:r>
          </w:p>
        </w:tc>
        <w:tc>
          <w:tcPr>
            <w:tcW w:w="170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1"/>
              </w:rPr>
              <w:t>(расшифровка подписи)</w:t>
            </w:r>
          </w:p>
        </w:tc>
        <w:tc>
          <w:tcPr>
            <w:tcW w:w="1332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1"/>
              </w:rPr>
              <w:t>(должность)</w:t>
            </w:r>
          </w:p>
        </w:tc>
        <w:tc>
          <w:tcPr>
            <w:tcW w:w="171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1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</w:r>
          </w:p>
        </w:tc>
        <w:tc>
          <w:tcPr>
            <w:tcW w:w="1475" w:type="dxa"/>
            <w:tcBorders/>
          </w:tcPr>
          <w:p>
            <w:pPr>
              <w:pStyle w:val="Normal"/>
              <w:tabs>
                <w:tab w:val="clear" w:pos="720"/>
                <w:tab w:val="left" w:pos="-1985" w:leader="none"/>
              </w:tabs>
              <w:bidi w:val="0"/>
              <w:jc w:val="center"/>
              <w:rPr/>
            </w:pPr>
            <w:r>
              <w:rPr>
                <w:rFonts w:ascii="Arial" w:hAnsi="Arial"/>
                <w:sz w:val="11"/>
              </w:rPr>
              <w:t>(расшифровка подписи)</w:t>
            </w:r>
          </w:p>
        </w:tc>
      </w:tr>
    </w:tbl>
    <w:p>
      <w:pPr>
        <w:pStyle w:val="Normal"/>
        <w:bidi w:val="0"/>
        <w:spacing w:before="160" w:after="0"/>
        <w:ind w:end="-30"/>
        <w:jc w:val="start"/>
        <w:rPr/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964" w:right="907" w:gutter="0" w:header="397" w:top="79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>
        <w:rFonts w:ascii="Times New Roman" w:hAnsi="Times New Roman"/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>
        <w:rFonts w:ascii="Times New Roman" w:hAnsi="Times New Roman"/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>
        <w:rFonts w:ascii="Times New Roman" w:hAnsi="Times New Roman"/>
        <w:b/>
        <w:sz w:val="14"/>
      </w:rPr>
    </w:pPr>
    <w:r>
      <w:rPr>
        <w:sz w:val="14"/>
      </w:rPr>
      <w:t xml:space="preserve">Подготовлено с использованием системы </w:t>
    </w:r>
    <w:r>
      <w:rPr>
        <w:b/>
        <w:sz w:val="14"/>
      </w:rPr>
      <w:t>КонсультантПлюс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doNotHyphenateCap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</w:pPr>
    <w:rPr>
      <w:rFonts w:ascii="Arial" w:hAnsi="Arial"/>
      <w:b/>
      <w:sz w:val="18"/>
      <w:lang w:val="ru-RU"/>
    </w:rPr>
  </w:style>
  <w:style w:type="paragraph" w:styleId="Heading2">
    <w:name w:val="heading 2"/>
    <w:basedOn w:val="Normal"/>
    <w:next w:val="Normal"/>
    <w:qFormat/>
    <w:pPr>
      <w:keepNext w:val="true"/>
      <w:widowControl/>
      <w:tabs>
        <w:tab w:val="clear" w:pos="720"/>
        <w:tab w:val="left" w:pos="-1985" w:leader="none"/>
      </w:tabs>
      <w:ind w:end="170"/>
      <w:jc w:val="end"/>
    </w:pPr>
    <w:rPr>
      <w:rFonts w:ascii="Arial" w:hAnsi="Arial"/>
      <w:b/>
      <w:sz w:val="18"/>
      <w:lang w:val="ru-RU"/>
    </w:rPr>
  </w:style>
  <w:style w:type="character" w:styleId="DefaultParagraphFont">
    <w:name w:val="Default Paragraph Font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Style14">
    <w:name w:val="Колонтитулы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sz w:val="20"/>
      <w:lang w:val="ru-RU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sz w:val="20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LibreOffice/26.2.3.2$Windows_X86_64 LibreOffice_project/70e089b17412e4cb7773e41413306b17a2328c34</Application>
  <AppVersion>15.0000</AppVersion>
  <Pages>2</Pages>
  <Words>182</Words>
  <Characters>1288</Characters>
  <CharactersWithSpaces>1392</CharactersWithSpaces>
  <Paragraphs>87</Paragraphs>
  <Company>NPO VMI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2001-10-08T14:53:00Z</dcterms:created>
  <dc:creator>ConsultantPlus</dc:creator>
  <dc:description/>
  <dc:language>ru-RU</dc:language>
  <cp:lastModifiedBy/>
  <cp:lastPrinted>2001-10-04T11:12:00Z</cp:lastPrinted>
  <dcterms:modified xsi:type="dcterms:W3CDTF">2003-03-18T11:27:00Z</dcterms:modified>
  <cp:revision>15</cp:revision>
  <dc:subject/>
  <dc:title>Типовая межотраслевая форма № М-11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ConsultantPlus</vt:lpwstr>
  </property>
</Properties>
</file>